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6F02" w14:textId="77777777" w:rsidR="00AA1CAB" w:rsidRPr="00261E35" w:rsidRDefault="00261E35">
      <w:pPr>
        <w:jc w:val="center"/>
        <w:rPr>
          <w:lang w:val="fr-FR"/>
        </w:rPr>
      </w:pPr>
      <w:r w:rsidRPr="00261E35">
        <w:rPr>
          <w:b/>
          <w:color w:val="1B3A5C"/>
          <w:sz w:val="28"/>
          <w:lang w:val="fr-FR"/>
        </w:rPr>
        <w:t>POLICY BRIEF</w:t>
      </w:r>
    </w:p>
    <w:p w14:paraId="72BD6AF4" w14:textId="77777777" w:rsidR="00AA1CAB" w:rsidRPr="00261E35" w:rsidRDefault="00261E35">
      <w:pPr>
        <w:jc w:val="center"/>
        <w:rPr>
          <w:lang w:val="fr-FR"/>
        </w:rPr>
      </w:pPr>
      <w:r w:rsidRPr="00261E35">
        <w:rPr>
          <w:b/>
          <w:color w:val="1B3A5C"/>
          <w:sz w:val="32"/>
          <w:lang w:val="fr-FR"/>
        </w:rPr>
        <w:t>La fragilité par la base</w:t>
      </w:r>
    </w:p>
    <w:p w14:paraId="67BCFA90" w14:textId="77777777" w:rsidR="00AA1CAB" w:rsidRPr="00261E35" w:rsidRDefault="00261E35">
      <w:pPr>
        <w:jc w:val="center"/>
        <w:rPr>
          <w:lang w:val="fr-FR"/>
        </w:rPr>
      </w:pPr>
      <w:r w:rsidRPr="00261E35">
        <w:rPr>
          <w:color w:val="444444"/>
          <w:sz w:val="24"/>
          <w:lang w:val="fr-FR"/>
        </w:rPr>
        <w:t>Les PME européennes face aux risques géopolitiques :</w:t>
      </w:r>
      <w:r w:rsidRPr="00261E35">
        <w:rPr>
          <w:color w:val="444444"/>
          <w:sz w:val="24"/>
          <w:lang w:val="fr-FR"/>
        </w:rPr>
        <w:br/>
        <w:t>résultats empiriques, mécanismes et recommandations pour la BITD</w:t>
      </w:r>
    </w:p>
    <w:p w14:paraId="57E5641E" w14:textId="77777777" w:rsidR="00AA1CAB" w:rsidRPr="00261E35" w:rsidRDefault="00261E35">
      <w:pPr>
        <w:jc w:val="center"/>
        <w:rPr>
          <w:lang w:val="fr-FR"/>
        </w:rPr>
      </w:pPr>
      <w:r w:rsidRPr="00261E35">
        <w:rPr>
          <w:i/>
          <w:lang w:val="fr-FR"/>
        </w:rPr>
        <w:t>Quand les premiers maillons cèdent, c'est toute la chaîne qui se fragilise</w:t>
      </w:r>
    </w:p>
    <w:p w14:paraId="163EABC4" w14:textId="77777777" w:rsidR="00AA1CAB" w:rsidRPr="00261E35" w:rsidRDefault="00261E35">
      <w:pPr>
        <w:jc w:val="center"/>
        <w:rPr>
          <w:lang w:val="fr-FR"/>
        </w:rPr>
      </w:pPr>
      <w:r w:rsidRPr="00261E35">
        <w:rPr>
          <w:b/>
          <w:sz w:val="20"/>
          <w:lang w:val="fr-FR"/>
        </w:rPr>
        <w:t>Eric Gabin KILAMA</w:t>
        <w:br/>
        <w:t>Macroéconomiste — Chercheur associé, FERDI</w:t>
        <w:br/>
        <w:t>Économiste-Conseiller, CAPS/MEAE</w:t>
        <w:br/>
        <w:t>Mars 2026  |  v9</w:t>
      </w:r>
      <w:r w:rsidRPr="00261E35">
        <w:rPr>
          <w:sz w:val="18"/>
          <w:lang w:val="fr-FR"/>
        </w:rPr>
      </w:r>
      <w:r w:rsidRPr="00261E35">
        <w:rPr>
          <w:sz w:val="18"/>
          <w:lang w:val="fr-FR"/>
        </w:rPr>
      </w:r>
      <w:r w:rsidRPr="00261E35">
        <w:rPr>
          <w:sz w:val="18"/>
          <w:lang w:val="fr-FR"/>
        </w:rPr>
      </w:r>
      <w:r w:rsidRPr="00261E35">
        <w:rPr>
          <w:sz w:val="18"/>
          <w:lang w:val="fr-FR"/>
        </w:rPr>
      </w:r>
    </w:p>
    <w:p w14:paraId="7D504203" w14:textId="77777777" w:rsidR="00AA1CAB" w:rsidRPr="00261E35" w:rsidRDefault="00AA1CAB">
      <w:pPr>
        <w:rPr>
          <w:lang w:val="fr-FR"/>
        </w:rPr>
      </w:pPr>
    </w:p>
    <w:p w14:paraId="0B0155B1" w14:textId="77777777" w:rsidR="00AA1CAB" w:rsidRPr="00261E35" w:rsidRDefault="00261E35">
      <w:pPr>
        <w:spacing w:before="120" w:after="240"/>
        <w:jc w:val="both"/>
        <w:rPr>
          <w:lang w:val="fr-FR"/>
        </w:rPr>
      </w:pPr>
      <w:r w:rsidRPr="00261E35">
        <w:rPr>
          <w:b/>
          <w:color w:val="1B3A5C"/>
          <w:sz w:val="23"/>
          <w:lang w:val="fr-FR"/>
        </w:rPr>
        <w:t>Les PME industrielles européennes absorbent les chocs géopolitiques dans leurs marges : les plus petites et les plus exposées subissent un stress financier 3,8 fois supérieur aux grandes entreprises de services. Ce mécanisme, documenté sur 337 000 observations dans 12 pays et chiffré à environ 15 milliards d'euros (fourchette : 7-28 Md€), fragilise la base industrielle de défense européenne au moment précis où elle doit se renforcer.</w:t>
      </w:r>
      <w:r w:rsidRPr="00261E35">
        <w:rPr>
          <w:b/>
          <w:color w:val="1B3A5C"/>
          <w:sz w:val="23"/>
          <w:lang w:val="fr-FR"/>
        </w:rPr>
      </w:r>
      <w:r w:rsidRPr="00261E35">
        <w:rPr>
          <w:b/>
          <w:color w:val="1B3A5C"/>
          <w:sz w:val="23"/>
          <w:lang w:val="fr-FR"/>
        </w:rPr>
      </w:r>
    </w:p>
    <w:p w14:paraId="4D4130A8" w14:textId="77777777" w:rsidR="00AA1CAB" w:rsidRDefault="00261E35">
      <w:pPr>
        <w:pStyle w:val="Heading2"/>
      </w:pPr>
      <w:r>
        <w:t>Chiffres clés</w:t>
      </w:r>
    </w:p>
    <w:tbl>
      <w:tblPr>
        <w:tblStyle w:val="LightShading-Accent1"/>
        <w:tblW w:w="0" w:type="auto"/>
        <w:jc w:val="center"/>
        <w:tblLook w:val="04A0" w:firstRow="1" w:lastRow="0" w:firstColumn="1" w:lastColumn="0" w:noHBand="0" w:noVBand="1"/>
      </w:tblPr>
      <w:tblGrid>
        <w:gridCol w:w="4320"/>
        <w:gridCol w:w="4320"/>
      </w:tblGrid>
      <w:tr w:rsidR="00AA1CAB" w:rsidRPr="00261E35" w14:paraId="5E6EB4B1" w14:textId="77777777" w:rsidTr="00AA1C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58F47033" w14:textId="77777777" w:rsidR="00AA1CAB" w:rsidRDefault="00261E35">
            <w:r>
              <w:rPr>
                <w:color w:val="1B3A5C"/>
                <w:sz w:val="24"/>
              </w:rPr>
              <w:t>3,8×</w:t>
            </w:r>
          </w:p>
        </w:tc>
        <w:tc>
          <w:tcPr>
            <w:tcW w:w="4320" w:type="dxa"/>
          </w:tcPr>
          <w:p w14:paraId="34814632" w14:textId="77777777" w:rsidR="00AA1CAB" w:rsidRPr="00261E35" w:rsidRDefault="00261E35">
            <w:pPr>
              <w:cnfStyle w:val="100000000000" w:firstRow="1" w:lastRow="0" w:firstColumn="0" w:lastColumn="0" w:oddVBand="0" w:evenVBand="0" w:oddHBand="0" w:evenHBand="0" w:firstRowFirstColumn="0" w:firstRowLastColumn="0" w:lastRowFirstColumn="0" w:lastRowLastColumn="0"/>
              <w:rPr>
                <w:lang w:val="fr-FR"/>
              </w:rPr>
            </w:pPr>
            <w:r w:rsidRPr="00261E35">
              <w:rPr>
                <w:sz w:val="18"/>
                <w:lang w:val="fr-FR"/>
              </w:rPr>
              <w:t>Gradient de vulnérabilité entre micro-entreprises industrielles et grandes entreprises de services — le ratio le p</w:t>
            </w:r>
            <w:r w:rsidRPr="00261E35">
              <w:rPr>
                <w:sz w:val="18"/>
                <w:lang w:val="fr-FR"/>
              </w:rPr>
              <w:t>lus élevé de la zone euro</w:t>
            </w:r>
          </w:p>
        </w:tc>
      </w:tr>
      <w:tr w:rsidR="00AA1CAB" w:rsidRPr="00261E35" w14:paraId="7DFE82C7" w14:textId="77777777" w:rsidTr="00AA1C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5816E3E9" w14:textId="77777777" w:rsidR="00AA1CAB" w:rsidRDefault="00261E35">
            <w:r>
              <w:rPr>
                <w:color w:val="1B3A5C"/>
                <w:sz w:val="24"/>
              </w:rPr>
              <w:t>17,6 % vs 40 %</w:t>
            </w:r>
          </w:p>
        </w:tc>
        <w:tc>
          <w:tcPr>
            <w:tcW w:w="4320" w:type="dxa"/>
          </w:tcPr>
          <w:p w14:paraId="013233EC" w14:textId="77777777" w:rsidR="00AA1CAB" w:rsidRPr="00261E35" w:rsidRDefault="00261E35">
            <w:pPr>
              <w:cnfStyle w:val="000000100000" w:firstRow="0" w:lastRow="0" w:firstColumn="0" w:lastColumn="0" w:oddVBand="0" w:evenVBand="0" w:oddHBand="1" w:evenHBand="0" w:firstRowFirstColumn="0" w:firstRowLastColumn="0" w:lastRowFirstColumn="0" w:lastRowLastColumn="0"/>
              <w:rPr>
                <w:lang w:val="fr-FR"/>
              </w:rPr>
            </w:pPr>
            <w:r w:rsidRPr="00261E35">
              <w:rPr>
                <w:sz w:val="18"/>
                <w:lang w:val="fr-FR"/>
              </w:rPr>
              <w:t>Part des hausses de coûts répercutée sur les prix par les PME (vs grandes entreprises) — le mécanisme central de la fragilité</w:t>
            </w:r>
          </w:p>
        </w:tc>
      </w:tr>
      <w:tr w:rsidR="00AA1CAB" w14:paraId="020B76C0" w14:textId="77777777" w:rsidTr="00AA1CAB">
        <w:trPr>
          <w:jc w:val="center"/>
        </w:trPr>
        <w:tc>
          <w:tcPr>
            <w:cnfStyle w:val="001000000000" w:firstRow="0" w:lastRow="0" w:firstColumn="1" w:lastColumn="0" w:oddVBand="0" w:evenVBand="0" w:oddHBand="0" w:evenHBand="0" w:firstRowFirstColumn="0" w:firstRowLastColumn="0" w:lastRowFirstColumn="0" w:lastRowLastColumn="0"/>
            <w:tcW w:w="4320" w:type="dxa"/>
          </w:tcPr>
          <w:p w14:paraId="27EC0647" w14:textId="77777777" w:rsidR="00AA1CAB" w:rsidRDefault="00261E35">
            <w:r>
              <w:rPr>
                <w:color w:val="1B3A5C"/>
                <w:sz w:val="24"/>
              </w:rPr>
              <w:t>≥ 7 Md€</w:t>
            </w:r>
          </w:p>
        </w:tc>
        <w:tc>
          <w:tcPr>
            <w:tcW w:w="4320" w:type="dxa"/>
          </w:tcPr>
          <w:p w14:paraId="24B9AC15" w14:textId="77777777" w:rsidR="00AA1CAB" w:rsidRDefault="00261E35">
            <w:pPr>
              <w:cnfStyle w:val="000000000000" w:firstRow="0" w:lastRow="0" w:firstColumn="0" w:lastColumn="0" w:oddVBand="0" w:evenVBand="0" w:oddHBand="0" w:evenHBand="0" w:firstRowFirstColumn="0" w:firstRowLastColumn="0" w:lastRowFirstColumn="0" w:lastRowLastColumn="0"/>
            </w:pPr>
            <w:r w:rsidRPr="00261E35">
              <w:rPr>
                <w:sz w:val="18"/>
                <w:lang w:val="fr-FR"/>
              </w:rPr>
              <w:t>Impact PIB estimé via le canal PME (fourchette basse ; jusqu'à 28 Md€ en fourch</w:t>
            </w:r>
            <w:r w:rsidRPr="00261E35">
              <w:rPr>
                <w:sz w:val="18"/>
                <w:lang w:val="fr-FR"/>
              </w:rPr>
              <w:t xml:space="preserve">ette haute). </w:t>
            </w:r>
            <w:r>
              <w:rPr>
                <w:sz w:val="18"/>
              </w:rPr>
              <w:t>Estimation comptable, hors effets d'équilibre général</w:t>
            </w:r>
          </w:p>
        </w:tc>
      </w:tr>
      <w:tr w:rsidR="00AA1CAB" w:rsidRPr="00261E35" w14:paraId="6CFCBF29" w14:textId="77777777" w:rsidTr="00AA1C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0CD7646B" w14:textId="77777777" w:rsidR="00AA1CAB" w:rsidRDefault="00261E35">
            <w:r>
              <w:rPr>
                <w:color w:val="1B3A5C"/>
                <w:sz w:val="24"/>
              </w:rPr>
              <w:t>10 mois</w:t>
            </w:r>
          </w:p>
        </w:tc>
        <w:tc>
          <w:tcPr>
            <w:tcW w:w="4320" w:type="dxa"/>
          </w:tcPr>
          <w:p w14:paraId="3E3406FC" w14:textId="77777777" w:rsidR="00AA1CAB" w:rsidRPr="00261E35" w:rsidRDefault="00261E35">
            <w:pPr>
              <w:cnfStyle w:val="000000100000" w:firstRow="0" w:lastRow="0" w:firstColumn="0" w:lastColumn="0" w:oddVBand="0" w:evenVBand="0" w:oddHBand="1" w:evenHBand="0" w:firstRowFirstColumn="0" w:firstRowLastColumn="0" w:lastRowFirstColumn="0" w:lastRowLastColumn="0"/>
              <w:rPr>
                <w:lang w:val="fr-FR"/>
              </w:rPr>
            </w:pPr>
            <w:r w:rsidRPr="00261E35">
              <w:rPr>
                <w:sz w:val="18"/>
                <w:lang w:val="fr-FR"/>
              </w:rPr>
              <w:t>Avance de l'enquête SAFE sur les données Eurostat d'insolvabilité — l'alerte précoce fonctionne</w:t>
            </w:r>
          </w:p>
        </w:tc>
      </w:tr>
    </w:tbl>
    <w:p w14:paraId="373E7FB5" w14:textId="77777777" w:rsidR="00AA1CAB" w:rsidRPr="00261E35" w:rsidRDefault="00261E35">
      <w:pPr>
        <w:rPr>
          <w:lang w:val="fr-FR"/>
        </w:rPr>
      </w:pPr>
      <w:r>
        <w:rPr>
          <w:i/>
          <w:color w:val="666666"/>
          <w:sz w:val="16"/>
        </w:rPr>
        <w:t xml:space="preserve">Sources : ECB SAFE (337 666 obs., 12 pays), German Business Panel, Eurostat. </w:t>
      </w:r>
      <w:r w:rsidRPr="00261E35">
        <w:rPr>
          <w:i/>
          <w:color w:val="666666"/>
          <w:sz w:val="16"/>
          <w:lang w:val="fr-FR"/>
        </w:rPr>
        <w:t>Calcul</w:t>
      </w:r>
      <w:r w:rsidRPr="00261E35">
        <w:rPr>
          <w:i/>
          <w:color w:val="666666"/>
          <w:sz w:val="16"/>
          <w:lang w:val="fr-FR"/>
        </w:rPr>
        <w:t>s de l'auteur. Voir annexe technique.</w:t>
      </w:r>
    </w:p>
    <w:p>
      <w:pPr>
        <w:shd w:val="clear" w:color="auto" w:fill="E8EFF5"/>
        <w:pBdr>
          <w:left w:val="single" w:sz="18" w:space="4" w:color="1F4E79"/>
        </w:pBdr>
      </w:pPr>
      <w:r>
        <w:rPr>
          <w:i/>
          <w:sz w:val="16"/>
        </w:rPr>
        <w:t>Ce que ce document n'est pas. Ce policy brief s'appuie sur des données PME générales (ECB SAFE, 337 000 observations). Les résultats sont étendus à la BITD sur la base de l'étude Trésor-Éco n°360 (Alvarez et al., 2025) qui confirme que les PME de défense présentent des marges structurellement inférieures. Nos estimations constituent donc une borne inférieure de l'impact sur les PME de défense, qui font face à des contraintes additionnelles (ITAR, classification, monopsonie étatique, cycles d'acquisition longs).</w:t>
      </w:r>
    </w:p>
    <w:p w14:paraId="73B6074F" w14:textId="77777777" w:rsidR="00AA1CAB" w:rsidRPr="00261E35" w:rsidRDefault="00261E35">
      <w:pPr>
        <w:pStyle w:val="Heading1"/>
        <w:rPr>
          <w:lang w:val="fr-FR"/>
        </w:rPr>
      </w:pPr>
      <w:r w:rsidRPr="00261E35">
        <w:rPr>
          <w:lang w:val="fr-FR"/>
        </w:rPr>
        <w:t>I. Le double choc : Ukraine, refonte transatlantique et cristallisation du risque</w:t>
      </w:r>
    </w:p>
    <w:p w14:paraId="2943699F" w14:textId="77777777" w:rsidR="00AA1CAB" w:rsidRPr="00261E35" w:rsidRDefault="00261E35">
      <w:pPr>
        <w:jc w:val="both"/>
        <w:rPr>
          <w:lang w:val="fr-FR"/>
        </w:rPr>
      </w:pPr>
      <w:r w:rsidRPr="00261E35">
        <w:rPr>
          <w:lang w:val="fr-FR"/>
        </w:rPr>
        <w:t>Depuis février 2022, l'indice de risque géopolitique (GPR) montre que 27,5 % des jours sont en zone de stress élevé, contre 5,2 % avant 2000 — un facteur 5,3. La trajectoire post-Ukraine dessine un L, pas un V : le risque persiste.</w:t>
      </w:r>
      <w:r w:rsidRPr="00261E35">
        <w:rPr>
          <w:lang w:val="fr-FR"/>
        </w:rPr>
      </w:r>
      <w:r w:rsidRPr="00261E35">
        <w:rPr>
          <w:lang w:val="fr-FR"/>
        </w:rPr>
      </w:r>
      <w:r w:rsidRPr="00261E35">
        <w:rPr>
          <w:lang w:val="fr-FR"/>
        </w:rPr>
      </w:r>
    </w:p>
    <w:p w14:paraId="1A37BF6C" w14:textId="77777777" w:rsidR="00AA1CAB" w:rsidRPr="00261E35" w:rsidRDefault="00261E35">
      <w:pPr>
        <w:jc w:val="both"/>
        <w:rPr>
          <w:lang w:val="fr-FR"/>
        </w:rPr>
      </w:pPr>
      <w:r w:rsidRPr="00261E35">
        <w:rPr>
          <w:lang w:val="fr-FR"/>
        </w:rPr>
        <w:t>Ukraine 2022 active simultanément trois canaux de transmission pour les PME : approvisionnements (45-48 % du gaz naturel importé de Russie), financier (surcoûts + hausse des taux BCE) et incertitude (gel de l'investissement). La reconfiguration transatlantique (tarifs Section 232, investigation Section 301, pression sur l'article 5) ajoute un choc commercial aux tensions géopolitiques.</w:t>
      </w:r>
      <w:r w:rsidRPr="00261E35">
        <w:rPr>
          <w:lang w:val="fr-FR"/>
        </w:rPr>
      </w:r>
      <w:r w:rsidRPr="00261E35">
        <w:rPr>
          <w:lang w:val="fr-FR"/>
        </w:rPr>
      </w:r>
    </w:p>
    <w:p w14:paraId="7EA0B5C6" w14:textId="77777777" w:rsidR="00AA1CAB" w:rsidRPr="00261E35" w:rsidRDefault="00261E35">
      <w:pPr>
        <w:jc w:val="both"/>
        <w:rPr>
          <w:lang w:val="fr-FR"/>
        </w:rPr>
      </w:pPr>
      <w:r w:rsidRPr="00261E35">
        <w:rPr>
          <w:b/>
          <w:lang w:val="fr-FR"/>
        </w:rPr>
        <w:t xml:space="preserve">Un chiffre illustre </w:t>
      </w:r>
      <w:r w:rsidRPr="00261E35">
        <w:rPr>
          <w:b/>
          <w:lang w:val="fr-FR"/>
        </w:rPr>
        <w:t xml:space="preserve">ce paradoxe à l'échelle continentale. </w:t>
      </w:r>
      <w:r w:rsidRPr="00261E35">
        <w:rPr>
          <w:lang w:val="fr-FR"/>
        </w:rPr>
        <w:t>Entre 2017 et 2021, les achats d'armes européens via le programme américain Foreign Military Sales (FMS) s'élevaient en moyenne à 11 milliards de dollars par an. En 2024, ce montant a atteint 76 milliards — un record h</w:t>
      </w:r>
      <w:r w:rsidRPr="00261E35">
        <w:rPr>
          <w:lang w:val="fr-FR"/>
        </w:rPr>
        <w:t>istorique. Les FMS représentent désormais 50,7 % des dépenses d'équipement européennes (2022-2024), contre 27,8 % sur 2019-2021. Plus l'Europe dépense pour sa défense, plus elle achète américain. Ce verrouillage technologique est renforcé par la réglementa</w:t>
      </w:r>
      <w:r w:rsidRPr="00261E35">
        <w:rPr>
          <w:lang w:val="fr-FR"/>
        </w:rPr>
        <w:t>tion ITAR (International Traffic in Arms Regulations) : toute entreprise européenne utilisant un composant américain soumis à l'ITAR doit obtenir une licence du Département d'État pour réexporter le produit final — verrouillant toute la chaîne de sous-trai</w:t>
      </w:r>
      <w:r w:rsidRPr="00261E35">
        <w:rPr>
          <w:lang w:val="fr-FR"/>
        </w:rPr>
        <w:t>tance.</w:t>
      </w:r>
    </w:p>
    <w:p w14:paraId="766A74B2" w14:textId="77777777" w:rsidR="00AA1CAB" w:rsidRPr="00261E35" w:rsidRDefault="00261E35">
      <w:pPr>
        <w:jc w:val="both"/>
        <w:rPr>
          <w:lang w:val="fr-FR"/>
        </w:rPr>
      </w:pPr>
      <w:r w:rsidRPr="00261E35">
        <w:rPr>
          <w:lang w:val="fr-FR"/>
        </w:rPr>
        <w:t>L'Allemagne mérite une attention particulière : le Mittelstand — socle de la BITD allemande et 17 % de notre échantillon — subit simultanément transition énergétique, contraction des marchés chinois et choc géopolitique. Toute initiative européenne de résilience passe nécessairement par le Mittelstand.</w:t>
      </w:r>
      <w:r w:rsidRPr="00261E35">
        <w:rPr>
          <w:lang w:val="fr-FR"/>
        </w:rPr>
      </w:r>
    </w:p>
    <w:p w14:paraId="6D0BD5F6" w14:textId="7E4B5353" w:rsidR="00AA1CAB" w:rsidRPr="00261E35" w:rsidRDefault="00261E35">
      <w:pPr>
        <w:jc w:val="both"/>
        <w:rPr>
          <w:lang w:val="fr-FR"/>
        </w:rPr>
      </w:pPr>
      <w:r w:rsidRPr="00261E35">
        <w:rPr>
          <w:lang w:val="fr-FR"/>
        </w:rPr>
        <w:t>Quatre ans après le choc, nos données montrent une cristallisation de la vulnérabilité : trajectoire en L du GPR, persistance de l'effet ciseau jusqu'en 2024, et déplacement des insolvabilités vers les services non protégés. En mars 2026, les tensions sur le détroit d'Ormuz (Brent supérieur à 100 dollars) et le programme ReArm Europe (objectif de mobilisation de 800 Md€, dont 150 Md€ de prêts SAFE au niveau UE) confirment cette dynamique en temps réel.</w:t>
      </w:r>
      <w:r w:rsidRPr="00261E35">
        <w:rPr>
          <w:lang w:val="fr-FR"/>
        </w:rPr>
      </w:r>
      <w:r w:rsidRPr="00261E35">
        <w:rPr>
          <w:lang w:val="fr-FR"/>
        </w:rPr>
      </w:r>
      <w:r>
        <w:rPr/>
      </w:r>
    </w:p>
    <w:p w14:paraId="2AC885C0" w14:textId="69BFCE1F" w:rsidR="00261E35" w:rsidRPr="00261E35" w:rsidRDefault="00261E35">
      <w:pPr>
        <w:jc w:val="both"/>
        <w:rPr>
          <w:lang w:val="fr-FR"/>
        </w:rPr>
      </w:pPr>
    </w:p>
    <w:p w14:paraId="7E535E04" w14:textId="5F4AA8BA" w:rsidR="00261E35" w:rsidRPr="00261E35" w:rsidRDefault="00261E35">
      <w:pPr>
        <w:jc w:val="both"/>
        <w:rPr>
          <w:lang w:val="fr-FR"/>
        </w:rPr>
      </w:pPr>
    </w:p>
    <w:p w14:paraId="4E37C95A" w14:textId="77777777" w:rsidR="00261E35" w:rsidRPr="00261E35" w:rsidRDefault="00261E35">
      <w:pPr>
        <w:jc w:val="both"/>
        <w:rPr>
          <w:lang w:val="fr-FR"/>
        </w:rPr>
      </w:pPr>
    </w:p>
    <w:p w14:paraId="7A1C1D99" w14:textId="77777777" w:rsidR="00AA1CAB" w:rsidRPr="00261E35" w:rsidRDefault="00261E35">
      <w:pPr>
        <w:spacing w:before="160" w:after="160"/>
        <w:ind w:left="567"/>
        <w:rPr>
          <w:lang w:val="fr-FR"/>
        </w:rPr>
      </w:pPr>
      <w:r w:rsidRPr="00261E35">
        <w:rPr>
          <w:b/>
          <w:color w:val="8B0000"/>
          <w:sz w:val="20"/>
          <w:lang w:val="fr-FR"/>
        </w:rPr>
        <w:t>▌ Trois scénarios — Escalade (Ormuz, Taïwan, extension Ukraine ; impact PME 20-50 Md€ ; l'observatoire d'alerte précoce devient critique). Enlisement (statu quo 2026-2028 ; érosion lente des marges ; ~15 Md€/an ; clauses de révision adaptées). Détente (l'effet ciseau se résorbe partiellement mais les dépendances structurelles persistent).</w:t>
      </w:r>
      <w:r w:rsidRPr="00261E35">
        <w:rPr>
          <w:b/>
          <w:color w:val="8B0000"/>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p>
    <w:p w14:paraId="23A871B1" w14:textId="77777777" w:rsidR="00AA1CAB" w:rsidRPr="00261E35" w:rsidRDefault="00261E35">
      <w:pPr>
        <w:pStyle w:val="Heading1"/>
        <w:rPr>
          <w:lang w:val="fr-FR"/>
        </w:rPr>
      </w:pPr>
      <w:r w:rsidRPr="00261E35">
        <w:rPr>
          <w:lang w:val="fr-FR"/>
        </w:rPr>
        <w:t>II. Résultats empiriques : du secteur industriel à la BITD</w:t>
      </w:r>
    </w:p>
    <w:p w14:paraId="101E5790" w14:textId="77777777" w:rsidR="00AA1CAB" w:rsidRPr="00261E35" w:rsidRDefault="00261E35">
      <w:pPr>
        <w:jc w:val="both"/>
        <w:rPr>
          <w:lang w:val="fr-FR"/>
        </w:rPr>
      </w:pPr>
      <w:r w:rsidRPr="00261E35">
        <w:rPr>
          <w:lang w:val="fr-FR"/>
        </w:rPr>
        <w:t>Notre recherche exploite le panel ECB SAFE — 337 000 observations, 12 pays de la zone euro, 37 vagues semestrielles. Ce panel ne contient pas d'identifiant « défense » : l'analyse porte sur les PME du secteur industriel (8 997 observations), dont les PME de la BITD constituent un sous-ensemble. L'étude Trésor-Éco n°360 (Alvarez et al., 2025) confirme que les PME et ETI de la BITD française présentaient, avant le choc ukrainien, des marges structurellement inférieures (médiane de 15 % contre 24 % pour les entreprises comparables), un endettement plus élevé et une sous-capitalisation marquée. Ces résultats confortent l'interprétation de nos estimations SAFE comme une borne inférieure de la vulnérabilité réelle des PME de défense — des entreprises qui entraient dans le choc géopolitique avec des marges déjà comprimées et des capacités d'absorption réduites. Toutefois, la structure monopsonique des marchés de défense (acheteur étatique unique, contrats pluriannuels, clauses d'indexation) implique des canaux de transmission spécifiques que nos données ne capturent pas directement.</w:t>
      </w:r>
      <w:r w:rsidRPr="00261E35">
        <w:rPr>
          <w:lang w:val="fr-FR"/>
        </w:rPr>
      </w:r>
      <w:r w:rsidRPr="00261E35">
        <w:rPr>
          <w:lang w:val="fr-FR"/>
        </w:rPr>
      </w:r>
    </w:p>
    <w:p w14:paraId="7711F4FE" w14:textId="77777777" w:rsidR="00AA1CAB" w:rsidRPr="00261E35" w:rsidRDefault="00261E35">
      <w:pPr>
        <w:jc w:val="both"/>
        <w:rPr>
          <w:lang w:val="fr-FR"/>
        </w:rPr>
      </w:pPr>
      <w:r w:rsidRPr="00261E35">
        <w:rPr>
          <w:b/>
          <w:lang w:val="fr-FR"/>
        </w:rPr>
        <w:t>Résultat 1 — L'industrie, secte</w:t>
      </w:r>
      <w:r w:rsidRPr="00261E35">
        <w:rPr>
          <w:b/>
          <w:lang w:val="fr-FR"/>
        </w:rPr>
        <w:t xml:space="preserve">ur le plus vulnérable. </w:t>
      </w:r>
      <w:r w:rsidRPr="00261E35">
        <w:rPr>
          <w:lang w:val="fr-FR"/>
        </w:rPr>
        <w:t>Le secteur industriel affiche l'indice de stress le plus élevé de tous les secteurs (0,410 sur une échelle 0-1), un stress financier 37 % supérieur à la construction, et le score de vulnérabilité composite le plus élevé. L'exposition</w:t>
      </w:r>
      <w:r w:rsidRPr="00261E35">
        <w:rPr>
          <w:lang w:val="fr-FR"/>
        </w:rPr>
        <w:t xml:space="preserve"> géopolitique, mesurée par la part des importations en provenance de Russie et d'Ukraine, y est 3,3 fois supérieure à celle des services.</w:t>
      </w:r>
    </w:p>
    <w:p w14:paraId="06F0B1A2" w14:textId="77777777" w:rsidR="00AA1CAB" w:rsidRPr="00261E35" w:rsidRDefault="00261E35">
      <w:pPr>
        <w:jc w:val="both"/>
        <w:rPr>
          <w:lang w:val="fr-FR"/>
        </w:rPr>
      </w:pPr>
      <w:r w:rsidRPr="00261E35">
        <w:rPr>
          <w:b/>
          <w:lang w:val="fr-FR"/>
        </w:rPr>
        <w:t xml:space="preserve">Résultat 2 — Le gradient double taille × secteur. </w:t>
      </w:r>
      <w:r w:rsidRPr="00261E35">
        <w:rPr>
          <w:lang w:val="fr-FR"/>
        </w:rPr>
        <w:t>En croisant taille et secteur, l'écart de vulnérabilité atteint un r</w:t>
      </w:r>
      <w:r w:rsidRPr="00261E35">
        <w:rPr>
          <w:lang w:val="fr-FR"/>
        </w:rPr>
        <w:t>atio de 3,8 entre une micro-entreprise industrielle et une grande entreprise de services. Ce ratio n'est ni purement sectoriel ni purement dimensionnel — c'est leur interaction qui produit la concentration de la vulnérabilité. Les PME de la BITD, en grande</w:t>
      </w:r>
      <w:r w:rsidRPr="00261E35">
        <w:rPr>
          <w:lang w:val="fr-FR"/>
        </w:rPr>
        <w:t xml:space="preserve"> majorité des micro-entreprises et petites entreprises du secteur industriel, se trouvent exactement dans la zone de vulnérabilité maximale.</w:t>
      </w:r>
    </w:p>
    <w:p w14:paraId="5ADB42FB" w14:textId="77777777" w:rsidR="00AA1CAB" w:rsidRPr="00261E35" w:rsidRDefault="00261E35">
      <w:pPr>
        <w:jc w:val="both"/>
        <w:rPr>
          <w:lang w:val="fr-FR"/>
        </w:rPr>
      </w:pPr>
      <w:r w:rsidRPr="00261E35">
        <w:rPr>
          <w:b/>
          <w:lang w:val="fr-FR"/>
        </w:rPr>
        <w:t xml:space="preserve">Résultat 3 — La France, parmi les pays les plus exposés. </w:t>
      </w:r>
      <w:r w:rsidRPr="00261E35">
        <w:rPr>
          <w:lang w:val="fr-FR"/>
        </w:rPr>
        <w:t>La France se situe au 4e rang, avec 65,5 % des PME industr</w:t>
      </w:r>
      <w:r w:rsidRPr="00261E35">
        <w:rPr>
          <w:lang w:val="fr-FR"/>
        </w:rPr>
        <w:t>ielles déclarant une hausse de leurs coûts — le taux le plus élevé de la zone euro. La France et l'Allemagne, piliers de la BITD européenne, sont toutes deux dans la zone de forte vulnérabilité.</w:t>
      </w:r>
    </w:p>
    <w:p w14:paraId="28A57AB1" w14:textId="77777777" w:rsidR="00AA1CAB" w:rsidRPr="00261E35" w:rsidRDefault="00261E35">
      <w:pPr>
        <w:jc w:val="both"/>
        <w:rPr>
          <w:lang w:val="fr-FR"/>
        </w:rPr>
      </w:pPr>
      <w:r w:rsidRPr="00261E35">
        <w:rPr>
          <w:b/>
          <w:lang w:val="fr-FR"/>
        </w:rPr>
        <w:t>Résultat 4 — Des effets causaux confirmés. L'estimation causale — une triple différence exploitant la variation croisée entre exposition géopolitique, période post-invasion et taille d'entreprise — montre que les petites entreprises des secteurs les plus exposés subissent un surcoût significativement supérieur, résultat statistiquement robuste aux tests les plus exigeants (wild cluster bootstrap sur 12 clusters — une limite discutée en annexe —, diagnostics de l'instrument, placebos temporels) et validé par les données Eurostat d'insolvabilité et l'indice Google Trends de stress géopolitique. (Détails techniques en annexe.)</w:t>
      </w:r>
      <w:r w:rsidRPr="00261E35">
        <w:rPr>
          <w:lang w:val="fr-FR"/>
        </w:rPr>
      </w:r>
      <w:r w:rsidRPr="00261E35">
        <w:rPr>
          <w:lang w:val="fr-FR"/>
        </w:rPr>
      </w:r>
      <w:r w:rsidRPr="00261E35">
        <w:rPr>
          <w:lang w:val="fr-FR"/>
        </w:rPr>
      </w:r>
      <w:r w:rsidRPr="00261E35">
        <w:rPr>
          <w:lang w:val="fr-FR"/>
        </w:rPr>
      </w:r>
    </w:p>
    <w:p w14:paraId="28A57AB1" w14:textId="77777777" w:rsidR="00AA1CAB" w:rsidRPr="00261E35" w:rsidRDefault="00261E35">
      <w:pPr>
        <w:jc w:val="both"/>
        <w:rPr>
          <w:lang w:val="fr-FR"/>
        </w:rPr>
      </w:pPr>
      <w:r>
        <w:rPr>
          <w:b/>
          <w:lang w:val="fr-FR"/>
        </w:rPr>
        <w:t xml:space="preserve">Ces vulnérabilités doivent être lues en regard du boom de la demande de défense post-2022 : les carnets de commandes des entreprises de la BITD sont souvent pleins et les budgets militaires européens dépassent désormais 2 % du PIB en moyenne. Mais la hausse des commandes ne résout pas le problème structurel : si les marges restent compressées par le défaut de transmission des coûts, une entreprise peut faire faillite avec un carnet de commandes plein — et c’est précisément ce risque que nos données documentent.</w:t>
      </w:r>
    </w:p>
    <w:p w14:paraId="6F60942A" w14:textId="77777777" w:rsidR="00AA1CAB" w:rsidRPr="00261E35" w:rsidRDefault="00261E35">
      <w:pPr>
        <w:pStyle w:val="Heading1"/>
        <w:rPr>
          <w:lang w:val="fr-FR"/>
        </w:rPr>
      </w:pPr>
      <w:r w:rsidRPr="00261E35">
        <w:rPr>
          <w:lang w:val="fr-FR"/>
        </w:rPr>
        <w:t>III. Un m</w:t>
      </w:r>
      <w:r w:rsidRPr="00261E35">
        <w:rPr>
          <w:lang w:val="fr-FR"/>
        </w:rPr>
        <w:t>écanisme central et trois canaux de transmission</w:t>
      </w:r>
    </w:p>
    <w:p w14:paraId="6721147A" w14:textId="77777777" w:rsidR="00AA1CAB" w:rsidRPr="00261E35" w:rsidRDefault="00261E35">
      <w:pPr>
        <w:jc w:val="both"/>
        <w:rPr>
          <w:lang w:val="fr-FR"/>
        </w:rPr>
      </w:pPr>
      <w:r w:rsidRPr="00261E35">
        <w:rPr>
          <w:b/>
          <w:lang w:val="fr-FR"/>
        </w:rPr>
        <w:t xml:space="preserve">Le mécanisme central : le défaut de transmission des coûts. </w:t>
      </w:r>
      <w:r w:rsidRPr="00261E35">
        <w:rPr>
          <w:lang w:val="fr-FR"/>
        </w:rPr>
        <w:t xml:space="preserve">Nos estimations montrent que les PME ne répercutent que 17,6 % de la hausse de leurs coûts sur leurs prix de vente, contre 40 % pour les </w:t>
      </w:r>
      <w:r w:rsidRPr="00261E35">
        <w:rPr>
          <w:lang w:val="fr-FR"/>
        </w:rPr>
        <w:t>grandes entreprises. Ce défaut de transmission est la clé de voûte de la fragilité : les PME absorbent les chocs de coûts dans leurs marges au lieu de les transmettre à leurs clients. C'est cette absorption qui, amplifiée par le volume (99 % des entreprise</w:t>
      </w:r>
      <w:r w:rsidRPr="00261E35">
        <w:rPr>
          <w:lang w:val="fr-FR"/>
        </w:rPr>
        <w:t>s sont des PME), transforme un choc géopolitique en crise systémique.</w:t>
      </w:r>
    </w:p>
    <w:p w14:paraId="7B1B8B05" w14:textId="77777777" w:rsidR="00AA1CAB" w:rsidRPr="00261E35" w:rsidRDefault="00261E35">
      <w:pPr>
        <w:jc w:val="both"/>
        <w:rPr>
          <w:lang w:val="fr-FR"/>
        </w:rPr>
      </w:pPr>
      <w:r w:rsidRPr="00261E35">
        <w:rPr>
          <w:lang w:val="fr-FR"/>
        </w:rPr>
        <w:t>L'implication pour la politique publique est directe : le problème des PME face aux chocs géopolitiques n'est pas d'abord un problème de financement — c'est un problème de pouvoir de mar</w:t>
      </w:r>
      <w:r w:rsidRPr="00261E35">
        <w:rPr>
          <w:lang w:val="fr-FR"/>
        </w:rPr>
        <w:t>ché. Les PME n'ont pas la capacité de négocier avec leurs donneurs d'ordres. L'externalité est systémique : chaque PME qui absorbe au lieu de transmettre fragilise l'ensemble du tissu, sans que cette fragilité soit internalisée dans les décisions individue</w:t>
      </w:r>
      <w:r w:rsidRPr="00261E35">
        <w:rPr>
          <w:lang w:val="fr-FR"/>
        </w:rPr>
        <w:t>lles.</w:t>
      </w:r>
    </w:p>
    <w:p w14:paraId="6AB144F0" w14:textId="77777777" w:rsidR="00AA1CAB" w:rsidRPr="00261E35" w:rsidRDefault="00261E35">
      <w:pPr>
        <w:pStyle w:val="Heading2"/>
        <w:rPr>
          <w:lang w:val="fr-FR"/>
        </w:rPr>
      </w:pPr>
      <w:r w:rsidRPr="00261E35">
        <w:rPr>
          <w:lang w:val="fr-FR"/>
        </w:rPr>
        <w:t>Canal 1 — L'effet ciseau et les chokepoints de la BITD</w:t>
      </w:r>
    </w:p>
    <w:p w14:paraId="2DAE8A6C" w14:textId="77777777" w:rsidR="00AA1CAB" w:rsidRPr="00261E35" w:rsidRDefault="00261E35">
      <w:pPr>
        <w:jc w:val="both"/>
        <w:rPr>
          <w:lang w:val="fr-FR"/>
        </w:rPr>
      </w:pPr>
      <w:r w:rsidRPr="00261E35">
        <w:rPr>
          <w:lang w:val="fr-FR"/>
        </w:rPr>
        <w:t>Un choc géopolitique fait remonter brutalement les prix des intrants le long des chaînes d'approvisionnement. 57,3 % des PME industrielles déclarent une hausse de leurs coûts — 65,5 % pour la Fra</w:t>
      </w:r>
      <w:r w:rsidRPr="00261E35">
        <w:rPr>
          <w:lang w:val="fr-FR"/>
        </w:rPr>
        <w:t>nce. Simultanément, le chiffre d'affaires stagne.</w:t>
      </w:r>
    </w:p>
    <w:p w14:paraId="1C0125E8" w14:textId="77777777" w:rsidR="00AA1CAB" w:rsidRPr="00261E35" w:rsidRDefault="00261E35">
      <w:pPr>
        <w:spacing w:before="160" w:after="160"/>
        <w:ind w:left="567"/>
        <w:rPr>
          <w:lang w:val="fr-FR"/>
        </w:rPr>
      </w:pPr>
      <w:r w:rsidRPr="00261E35">
        <w:rPr>
          <w:b/>
          <w:color w:val="8B0000"/>
          <w:sz w:val="20"/>
          <w:lang w:val="fr-FR"/>
        </w:rPr>
        <w:t>▌ Chokepoints : seule l'intersection concentration × non-substituabilité justifie l'intervention</w:t>
        <w:br/>
        <w:t>• Terres rares et CRM (CONCENTRATION ÉLEVÉE + NON-SUBSTITUABLE) : la Chine domine la production de trois minéraux critiques avec des profils distincts — gallium (~98 % de la production et du raffinage), germanium (~60-68 % du raffinage), graphite (~77 % de l'extraction, ~95 % du raffinage). Depuis juillet 2023 (licences d’exportation Ga/Ge), puis décembre 2024 (embargo total vers les États-Unis, suspendu nov. 2025, clause militaire maintenue), Pékin utilise ces dépendances comme levier. Antimoine (embargo août 2024) : -97 % livraisons, +200 % prix. Pas de substitut à court terme → intervention justifiée.</w:t>
        <w:br/>
        <w:br/>
        <w:t>• Titane (CONCENTRATION ÉLEVÉE + SUBSTITUABLE À MOYEN TERME) : 22 % de la production mondiale venait de Russie. Airbus/Safran dépendaient à 50 % du titane russe. Alternatives : Kazakhstan, Japon, recyclage → diversification en cours.</w:t>
        <w:br/>
        <w:br/>
        <w:t>• Semi-conducteurs (CONCENTRATION ÉLEVÉE + NON-SUBSTITUABLE) : dépendance &gt;75 % de fonderies asiatiques (TSMC, Samsung). European Chips Act (43 Md€) en déploiement, mais horizon 2030+.</w:t>
        <w:br/>
        <w:br/>
        <w:t>Principe directeur (Mejean ; cf. Lafrogne-Joussier, Martin et Mejean, 2023, AEJ: Macro) : une chaîne concentrée mais facilement substituable ne justifie pas d'intervention publique. Seule l'intersection concentration × criticité (pas de substitut dans un délai raisonnable) constitue une vulnérabilité stratégique.</w:t>
      </w:r>
      <w:r w:rsidRPr="00261E35">
        <w:rPr>
          <w:b/>
          <w:color w:val="8B0000"/>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r w:rsidRPr="00261E35">
        <w:rPr>
          <w:sz w:val="20"/>
          <w:lang w:val="fr-FR"/>
        </w:rPr>
      </w:r>
    </w:p>
    <w:p w14:paraId="7317F27F" w14:textId="77777777" w:rsidR="00AA1CAB" w:rsidRPr="00261E35" w:rsidRDefault="00261E35">
      <w:pPr>
        <w:jc w:val="both"/>
        <w:rPr>
          <w:lang w:val="fr-FR"/>
        </w:rPr>
      </w:pPr>
      <w:r w:rsidRPr="00261E35">
        <w:rPr>
          <w:lang w:val="fr-FR"/>
        </w:rPr>
        <w:lastRenderedPageBreak/>
        <w:t>Ces chokepoints affectent disproportionnellement les PME sous-traitantes de rang 2</w:t>
      </w:r>
      <w:r w:rsidRPr="00261E35">
        <w:rPr>
          <w:lang w:val="fr-FR"/>
        </w:rPr>
        <w:t xml:space="preserve"> et 3, qui ne disposent ni du pouvoir de négociation ni de la capacité de stockage des grands donneurs d'ordres. Le risque sous-jacent est celui d'une substitution de dépendances : en construisant des systèmes d'armes européens, on crée une dépendance aux </w:t>
      </w:r>
      <w:r w:rsidRPr="00261E35">
        <w:rPr>
          <w:lang w:val="fr-FR"/>
        </w:rPr>
        <w:t>matériaux critiques chinois. La vulnérabilité change de forme, pas de magnitude.</w:t>
      </w:r>
    </w:p>
    <w:p w14:paraId="78BEDB55" w14:textId="77777777" w:rsidR="00AA1CAB" w:rsidRPr="00261E35" w:rsidRDefault="00261E35">
      <w:pPr>
        <w:pStyle w:val="Heading2"/>
        <w:rPr>
          <w:lang w:val="fr-FR"/>
        </w:rPr>
      </w:pPr>
      <w:r w:rsidRPr="00261E35">
        <w:rPr>
          <w:lang w:val="fr-FR"/>
        </w:rPr>
        <w:t>Canal 2 — L'étranglement financier : marges, pas crédit</w:t>
      </w:r>
    </w:p>
    <w:p w14:paraId="4CF14CFB" w14:textId="77777777" w:rsidR="00AA1CAB" w:rsidRPr="00261E35" w:rsidRDefault="00261E35">
      <w:pPr>
        <w:jc w:val="both"/>
        <w:rPr>
          <w:lang w:val="fr-FR"/>
        </w:rPr>
      </w:pPr>
      <w:r w:rsidRPr="00261E35">
        <w:rPr>
          <w:lang w:val="fr-FR"/>
        </w:rPr>
        <w:t>L'analyse multivariée du stress financier révèle un résultat contre-intuitif : le canal dominant n'est pas le rationnem</w:t>
      </w:r>
      <w:r w:rsidRPr="00261E35">
        <w:rPr>
          <w:lang w:val="fr-FR"/>
        </w:rPr>
        <w:t>ent du crédit mais la compression des marges par les coûts de production et le coût du travail, devant les charges d'intérêt — tandis que le rationnement du crédit ne contribue quasiment pas. Les PME de la BITD ne meurent pas parce qu'on leur refuse un cré</w:t>
      </w:r>
      <w:r w:rsidRPr="00261E35">
        <w:rPr>
          <w:lang w:val="fr-FR"/>
        </w:rPr>
        <w:t>dit — elles meurent parce que leurs marges fondent avant même qu'elles aient besoin d'emprunter.</w:t>
      </w:r>
    </w:p>
    <w:p w14:paraId="602311D2" w14:textId="77777777" w:rsidR="00AA1CAB" w:rsidRPr="00261E35" w:rsidRDefault="00261E35">
      <w:pPr>
        <w:jc w:val="both"/>
        <w:rPr>
          <w:lang w:val="fr-FR"/>
        </w:rPr>
      </w:pPr>
      <w:r w:rsidRPr="00261E35">
        <w:rPr>
          <w:lang w:val="fr-FR"/>
        </w:rPr>
        <w:t>Ce résultat rejoint les constats de l'étude DG DEFIS/CSIL (janvier 2024), qui rapporte que 68 % des PME de défense renoncent à chercher de l'equity et 44 % ren</w:t>
      </w:r>
      <w:r w:rsidRPr="00261E35">
        <w:rPr>
          <w:lang w:val="fr-FR"/>
        </w:rPr>
        <w:t>oncent aux prêts bancaires — non par refus, mais par anticipation du refus ou par insuffisance de marges pour servir la dette.</w:t>
      </w:r>
    </w:p>
    <w:p w14:paraId="3C6FA0EC" w14:textId="77777777" w:rsidR="00AA1CAB" w:rsidRPr="00261E35" w:rsidRDefault="00261E35">
      <w:pPr>
        <w:pStyle w:val="Heading2"/>
        <w:rPr>
          <w:lang w:val="fr-FR"/>
        </w:rPr>
      </w:pPr>
      <w:r w:rsidRPr="00261E35">
        <w:rPr>
          <w:lang w:val="fr-FR"/>
        </w:rPr>
        <w:t>Canal 3 — La paralysie de l'investissement</w:t>
      </w:r>
    </w:p>
    <w:p w14:paraId="217D4C56" w14:textId="77777777" w:rsidR="00AA1CAB" w:rsidRPr="00261E35" w:rsidRDefault="00261E35">
      <w:pPr>
        <w:jc w:val="both"/>
        <w:rPr>
          <w:lang w:val="fr-FR"/>
        </w:rPr>
      </w:pPr>
      <w:r w:rsidRPr="00261E35">
        <w:rPr>
          <w:lang w:val="fr-FR"/>
        </w:rPr>
        <w:t>Les données quotidiennes du German Business Panel (1 100 observations, 2021-2024) perm</w:t>
      </w:r>
      <w:r w:rsidRPr="00261E35">
        <w:rPr>
          <w:lang w:val="fr-FR"/>
        </w:rPr>
        <w:t xml:space="preserve">ettent de mesurer l'impact en haute fréquence. Un choc géopolitique d'un écart-type entraîne une baisse de l'investissement de 0,94 écart-type dans les 15 jours — un effet massif et quasi instantané. Les profits chutent de 1,73 écart-type à l'horizon d'un </w:t>
      </w:r>
      <w:r w:rsidRPr="00261E35">
        <w:rPr>
          <w:lang w:val="fr-FR"/>
        </w:rPr>
        <w:t>mois. Notre analyse distingue deux registres temporels : les menaces géopolitiques dominent à fréquence quotidienne (gel immédiat de l'investissement), tandis que les actes dominent à fréquence semestrielle (restructuration des coûts). Pour les PME, le cho</w:t>
      </w:r>
      <w:r w:rsidRPr="00261E35">
        <w:rPr>
          <w:lang w:val="fr-FR"/>
        </w:rPr>
        <w:t>c Ukraine active les deux registres simultanément.</w:t>
      </w:r>
    </w:p>
    <w:p w14:paraId="5EE64779" w14:textId="77777777" w:rsidR="00AA1CAB" w:rsidRPr="00261E35" w:rsidRDefault="00261E35">
      <w:pPr>
        <w:spacing w:before="160" w:after="160"/>
        <w:ind w:left="567"/>
        <w:rPr>
          <w:lang w:val="fr-FR"/>
        </w:rPr>
      </w:pPr>
      <w:r w:rsidRPr="00261E35">
        <w:rPr>
          <w:b/>
          <w:color w:val="8B0000"/>
          <w:sz w:val="20"/>
          <w:lang w:val="fr-FR"/>
        </w:rPr>
        <w:t>▌ Les barrières non-tarifaires : le frein structurel sous-estimé</w:t>
      </w:r>
      <w:r w:rsidRPr="00261E35">
        <w:rPr>
          <w:b/>
          <w:color w:val="8B0000"/>
          <w:sz w:val="20"/>
          <w:lang w:val="fr-FR"/>
        </w:rPr>
        <w:br/>
      </w:r>
      <w:r w:rsidRPr="00261E35">
        <w:rPr>
          <w:sz w:val="20"/>
          <w:lang w:val="fr-FR"/>
        </w:rPr>
        <w:t>Au-delà des chokepoints matériels, trois barrières réglementaires structurent le marché de la défense et affectent directement les PME :</w:t>
      </w:r>
      <w:r w:rsidRPr="00261E35">
        <w:rPr>
          <w:sz w:val="20"/>
          <w:lang w:val="fr-FR"/>
        </w:rPr>
        <w:br/>
      </w:r>
      <w:r w:rsidRPr="00261E35">
        <w:rPr>
          <w:sz w:val="20"/>
          <w:lang w:val="fr-FR"/>
        </w:rPr>
        <w:br/>
        <w:t>1.</w:t>
      </w:r>
      <w:r w:rsidRPr="00261E35">
        <w:rPr>
          <w:sz w:val="20"/>
          <w:lang w:val="fr-FR"/>
        </w:rPr>
        <w:t xml:space="preserve"> ITAR (International Traffic in Arms Regulations) : toute entreprise européenne utilisant un composant américain soumis à l'ITAR est verrouillée dans la chaîne américaine — elle ne peut réexporter sans licence du Département d'État. C'est le mécanisme qui </w:t>
      </w:r>
      <w:r w:rsidRPr="00261E35">
        <w:rPr>
          <w:sz w:val="20"/>
          <w:lang w:val="fr-FR"/>
        </w:rPr>
        <w:t>perpétue le paradoxe FMS : une fois qu'un système d'arme intègre un composant ITAR, toute la chaîne de sous-traitance est captive.</w:t>
      </w:r>
      <w:r w:rsidRPr="00261E35">
        <w:rPr>
          <w:sz w:val="20"/>
          <w:lang w:val="fr-FR"/>
        </w:rPr>
        <w:br/>
      </w:r>
      <w:r w:rsidRPr="00261E35">
        <w:rPr>
          <w:sz w:val="20"/>
          <w:lang w:val="fr-FR"/>
        </w:rPr>
        <w:br/>
        <w:t xml:space="preserve">2. Certifications et habilitations : l'homologation DGA, les normes OTAN (STANAG), les habilitations de sécurité créent des </w:t>
      </w:r>
      <w:r w:rsidRPr="00261E35">
        <w:rPr>
          <w:sz w:val="20"/>
          <w:lang w:val="fr-FR"/>
        </w:rPr>
        <w:t>coûts fixes élevés qui constituent la principale barrière à l'entrée pour les PME dans la BITD. Ces coûts rendent la marge d'entrée visqueuse — peu de PME entrent, et celles qui sortent ne sont pas facilement remplacées.</w:t>
      </w:r>
      <w:r w:rsidRPr="00261E35">
        <w:rPr>
          <w:sz w:val="20"/>
          <w:lang w:val="fr-FR"/>
        </w:rPr>
        <w:br/>
      </w:r>
      <w:r w:rsidRPr="00261E35">
        <w:rPr>
          <w:sz w:val="20"/>
          <w:lang w:val="fr-FR"/>
        </w:rPr>
        <w:br/>
        <w:t xml:space="preserve">3. Instruments européens en cours </w:t>
      </w:r>
      <w:r w:rsidRPr="00261E35">
        <w:rPr>
          <w:sz w:val="20"/>
          <w:lang w:val="fr-FR"/>
        </w:rPr>
        <w:t xml:space="preserve">: EDIRPA (adopté 2023), EDIP (en négociation), et le Fonds </w:t>
      </w:r>
      <w:r w:rsidRPr="00261E35">
        <w:rPr>
          <w:sz w:val="20"/>
          <w:lang w:val="fr-FR"/>
        </w:rPr>
        <w:lastRenderedPageBreak/>
        <w:t>européen de défense (FED/EDF) conditionnent l'accès des PME aux marchés de défense. Leur articulation avec les outils nationaux (DGA, Bpifrance) reste à construire.</w:t>
      </w:r>
    </w:p>
    <w:p w14:paraId="4350CAB1" w14:textId="77777777" w:rsidR="00AA1CAB" w:rsidRPr="00261E35" w:rsidRDefault="00261E35">
      <w:pPr>
        <w:jc w:val="both"/>
        <w:rPr>
          <w:lang w:val="fr-FR"/>
        </w:rPr>
      </w:pPr>
      <w:r w:rsidRPr="00261E35">
        <w:rPr>
          <w:b/>
          <w:lang w:val="fr-FR"/>
        </w:rPr>
        <w:t>L'effet de saturation géopolitiq</w:t>
      </w:r>
      <w:r w:rsidRPr="00261E35">
        <w:rPr>
          <w:b/>
          <w:lang w:val="fr-FR"/>
        </w:rPr>
        <w:t xml:space="preserve">ue. </w:t>
      </w:r>
      <w:r w:rsidRPr="00261E35">
        <w:rPr>
          <w:lang w:val="fr-FR"/>
        </w:rPr>
        <w:t>Nos estimations révèlent que l'écart de vulnérabilité entre petites et grandes entreprises se comprime lorsque le risque géopolitique atteint des niveaux extrêmes. Quand le risque devient maximal, toutes les entreprises souffrent — le différentiel de t</w:t>
      </w:r>
      <w:r w:rsidRPr="00261E35">
        <w:rPr>
          <w:lang w:val="fr-FR"/>
        </w:rPr>
        <w:t>aille s'efface. Les instruments de résilience doivent donc être déployés en amont, avant la saturation.</w:t>
      </w:r>
    </w:p>
    <w:p w14:paraId="0D7CCB0F" w14:textId="77777777" w:rsidR="00AA1CAB" w:rsidRPr="00261E35" w:rsidRDefault="00261E35">
      <w:pPr>
        <w:jc w:val="both"/>
        <w:rPr>
          <w:lang w:val="fr-FR"/>
        </w:rPr>
      </w:pPr>
      <w:r w:rsidRPr="00261E35">
        <w:rPr>
          <w:b/>
          <w:lang w:val="fr-FR"/>
        </w:rPr>
        <w:t>Impact macroéconomique : environ 15 milliards d'euros (fourchette 7-28 Md€). En combinant le différentiel de vulnérabilité par taille (27 % de la détérioration agrégée) avec les données de production industrielle et les comptes nationaux, l'impact via le canal PME est estimé à environ 15 milliards d'euros (borne basse : 7 Md€ pour l'industrie seule ; borne haute : 28 Md€ pour l'ensemble de l'économie marchande). Le scénario central correspond au secteur industriel élargi aux services directement liés. Cette estimation est de nature comptable, en équilibre partiel : elle ne prend pas en compte les effets d'équilibre général (substitution d'intrants, ajustements de taux de change, réallocation intersectorielle), ni les réponses politiques effectives (bouclier tarifaire, Doppel-Wumms) qui ont limité l'impact observé — l'industrie n'ayant pas connu de hausse des insolvabilités, contrairement aux services non protégés.</w:t>
      </w:r>
      <w:r w:rsidRPr="00261E35">
        <w:rPr>
          <w:lang w:val="fr-FR"/>
        </w:rPr>
      </w:r>
      <w:r w:rsidRPr="00261E35">
        <w:rPr>
          <w:lang w:val="fr-FR"/>
        </w:rPr>
      </w:r>
      <w:r w:rsidRPr="00261E35">
        <w:rPr>
          <w:lang w:val="fr-FR"/>
        </w:rPr>
      </w:r>
    </w:p>
    <w:p w14:paraId="0786C15D" w14:textId="77777777" w:rsidR="00AA1CAB" w:rsidRPr="00261E35" w:rsidRDefault="00261E35">
      <w:pPr>
        <w:pStyle w:val="Heading1"/>
        <w:rPr>
          <w:lang w:val="fr-FR"/>
        </w:rPr>
      </w:pPr>
      <w:r w:rsidRPr="00261E35">
        <w:rPr>
          <w:lang w:val="fr-FR"/>
        </w:rPr>
        <w:t>IV. Sept recommandations opérationnelles</w:t>
      </w:r>
    </w:p>
    <w:p w14:paraId="57B4C821" w14:textId="77777777" w:rsidR="00AA1CAB" w:rsidRPr="00261E35" w:rsidRDefault="00261E35">
      <w:pPr>
        <w:jc w:val="both"/>
        <w:rPr>
          <w:lang w:val="fr-FR"/>
        </w:rPr>
      </w:pPr>
      <w:r w:rsidRPr="00261E35">
        <w:rPr>
          <w:lang w:val="fr-FR"/>
        </w:rPr>
        <w:t>Nos recommandations sont structurées en deux blocs. Les trois premières découlent directement des résultats empiriques (evidence-based) : elles répondent aux mécanismes identifiés — défaut de transmission des coûts, asymétrie de pouvoir de marché, anticipation des insolvabilités. Les quatre suivantes sont des propositions de politique industrielle cohérentes avec le diagnostic mais dont le calibrage repose sur le jugement de l'auteur.</w:t>
      </w:r>
      <w:r w:rsidRPr="00261E35">
        <w:rPr>
          <w:lang w:val="fr-FR"/>
        </w:rPr>
      </w:r>
      <w:r w:rsidRPr="00261E35">
        <w:rPr>
          <w:lang w:val="fr-FR"/>
        </w:rPr>
      </w:r>
    </w:p>
    <w:p w14:paraId="4D6E6E6F" w14:textId="77777777" w:rsidR="00AA1CAB" w:rsidRPr="00261E35" w:rsidRDefault="00261E35">
      <w:pPr>
        <w:pStyle w:val="Heading2"/>
        <w:rPr>
          <w:lang w:val="fr-FR"/>
        </w:rPr>
      </w:pPr>
      <w:r w:rsidRPr="00261E35">
        <w:rPr>
          <w:lang w:val="fr-FR"/>
          <w:b/>
        </w:rPr>
        <w:t>A. Trois recommandations prioritaires (fondées sur les résultats)</w:t>
      </w:r>
    </w:p>
    <w:p w14:paraId="4D6E6E6F" w14:textId="77777777" w:rsidR="00AA1CAB" w:rsidRPr="00261E35" w:rsidRDefault="00261E35">
      <w:pPr>
        <w:pStyle w:val="Heading2"/>
        <w:rPr>
          <w:lang w:val="fr-FR"/>
        </w:rPr>
      </w:pPr>
      <w:r w:rsidRPr="00261E35">
        <w:rPr>
          <w:lang w:val="fr-FR"/>
        </w:rPr>
        <w:t>1. Observatoire d'alerte précoce de la fragilité PME</w:t>
      </w:r>
    </w:p>
    <w:p w14:paraId="208F6700" w14:textId="77777777" w:rsidR="00AA1CAB" w:rsidRPr="00261E35" w:rsidRDefault="00261E35">
      <w:pPr>
        <w:jc w:val="both"/>
        <w:rPr>
          <w:lang w:val="fr-FR"/>
        </w:rPr>
      </w:pPr>
      <w:r w:rsidRPr="00261E35">
        <w:rPr>
          <w:b/>
          <w:lang w:val="fr-FR"/>
        </w:rPr>
        <w:t xml:space="preserve">Acteur : DGA/DGRIS, EDA, SGDSN, BCE. </w:t>
      </w:r>
      <w:r w:rsidRPr="00261E35">
        <w:rPr>
          <w:lang w:val="fr-FR"/>
        </w:rPr>
        <w:t>Créer un observatoire de monitoring trimestriel de la vulnérabilité des PME industrielles, construit sur deux i</w:t>
      </w:r>
      <w:r w:rsidRPr="00261E35">
        <w:rPr>
          <w:lang w:val="fr-FR"/>
        </w:rPr>
        <w:t>ndicateurs issus de nos recherches : l'indice de stress opérationnel (écart coûts/chiffre d'affaires) et l'indice de stress financier. Seuil d'alerte : lorsque le gradient entre micro-entreprises et grandes dépasse 3×. Nos données montrent que l'enquête SA</w:t>
      </w:r>
      <w:r w:rsidRPr="00261E35">
        <w:rPr>
          <w:lang w:val="fr-FR"/>
        </w:rPr>
        <w:t>FE anticipe de 10 mois les insolvabilités Eurostat — l'investissement dans cet observatoire est justifié par cette capacité d'anticipation.</w:t>
      </w:r>
    </w:p>
    <w:p w14:paraId="386F3A33" w14:textId="77777777" w:rsidR="00AA1CAB" w:rsidRPr="00261E35" w:rsidRDefault="00261E35">
      <w:pPr>
        <w:jc w:val="both"/>
        <w:rPr>
          <w:lang w:val="fr-FR"/>
        </w:rPr>
      </w:pPr>
      <w:r w:rsidRPr="00261E35">
        <w:rPr>
          <w:lang w:val="fr-FR"/>
        </w:rPr>
        <w:t>Coût estimé : 2-5 M€/an (équipe de 5-8 analystes + infrastructure data). Bénéfice attendu : éviter des plans d'urgen</w:t>
      </w:r>
      <w:r w:rsidRPr="00261E35">
        <w:rPr>
          <w:lang w:val="fr-FR"/>
        </w:rPr>
        <w:t>ce réactifs dont le coût est 10 à 50 fois supérieur. Calendrier : lancement S2 2026, premiers résultats début 2027.</w:t>
      </w:r>
    </w:p>
    <w:p w14:paraId="1E189025" w14:textId="77777777" w:rsidR="00AA1CAB" w:rsidRPr="00261E35" w:rsidRDefault="00261E35">
      <w:pPr>
        <w:pStyle w:val="Heading2"/>
        <w:rPr>
          <w:lang w:val="fr-FR"/>
        </w:rPr>
      </w:pPr>
      <w:r w:rsidRPr="00261E35">
        <w:rPr>
          <w:lang w:val="fr-FR"/>
        </w:rPr>
        <w:t>2. Guichet PME-géorisque : garantie et liquidité d'urgence</w:t>
      </w:r>
    </w:p>
    <w:p w14:paraId="2F5E9836" w14:textId="77777777" w:rsidR="00AA1CAB" w:rsidRPr="00261E35" w:rsidRDefault="00261E35">
      <w:pPr>
        <w:jc w:val="both"/>
        <w:rPr>
          <w:lang w:val="fr-FR"/>
        </w:rPr>
      </w:pPr>
      <w:r w:rsidRPr="00261E35">
        <w:rPr>
          <w:b/>
          <w:lang w:val="fr-FR"/>
        </w:rPr>
        <w:t>Acteur : Bpifrance Défense, DGA, filières GICAT/GIFAS. Guichet d'activation rapide (&lt; 72h) offrant une garantie publique temporaire sur les lignes de crédit des PME de la BITD lors d'épisodes de stress identifiés par l'observatoire (rec. 1). Enveloppe de garantie de 500 M€ à 1 Md€, plafond par entreprise de 3 mois de CA, durée maximale de 12 mois. Conditionnalités : maintien de l'emploi pendant 24 mois, réinvestissement d'au moins 5 % du CA en R&amp;D dual-use, participation aux efforts de diversification européenne des approvisionnements, et transparence des prix dans la relation de sous-traitance avec les donneurs d'ordres. Ce guichet ne contredit pas le diagnostic « marges, pas crédit » : la compression des marges provoque une crise de liquidité en aval — les PME ont besoin d'un financement-relais pendant la reconstitution de leurs marges, pas d'un accès structurel au crédit. Calendrier : conception S2 2026, opérationnel S1 2027.</w:t>
      </w:r>
      <w:r w:rsidRPr="00261E35">
        <w:rPr>
          <w:lang w:val="fr-FR"/>
        </w:rPr>
      </w:r>
      <w:r w:rsidRPr="00261E35">
        <w:rPr>
          <w:lang w:val="fr-FR"/>
        </w:rPr>
      </w:r>
      <w:r w:rsidRPr="00261E35">
        <w:rPr>
          <w:lang w:val="fr-FR"/>
        </w:rPr>
      </w:r>
    </w:p>
    <w:p w14:paraId="0B557756" w14:textId="77777777" w:rsidR="00AA1CAB" w:rsidRDefault="00261E35">
      <w:pPr>
        <w:pStyle w:val="Heading2"/>
      </w:pPr>
      <w:r>
        <w:t>3. Clauses de révision de prix dans les marchés publics de défense</w:t>
      </w:r>
    </w:p>
    <w:p w14:paraId="68CFDB4E" w14:textId="77777777" w:rsidR="00AA1CAB" w:rsidRDefault="00261E35">
      <w:pPr>
        <w:jc w:val="both"/>
      </w:pPr>
      <w:r>
        <w:rPr>
          <w:b/>
        </w:rPr>
        <w:t>Acteur : DGA, D</w:t>
      </w:r>
      <w:r>
        <w:rPr>
          <w:b/>
        </w:rPr>
        <w:t xml:space="preserve">AJ/MinArm. </w:t>
      </w:r>
      <w:r>
        <w:t xml:space="preserve">Intégrer systématiquement des clauses de révision indexées sur les coûts des intrants critiques dans les marchés impliquant des PME sous-traitantes de rangs 2 et 3. Notre résultat central — les PME ne transmettent que 17,6 % de leurs hausses de </w:t>
      </w:r>
      <w:r>
        <w:t>coûts — montre que c'est le défaut de transmission dans la relation avec le donneur d'ordres public qui est le levier le plus direct. Coût : augmentation estimée de 3-5 % du coût des marchés concernés. Calendrier : intégration dans les nouveaux marchés dès</w:t>
      </w:r>
      <w:r>
        <w:t xml:space="preserve"> S1 2027. Note : cette mesure doit être articulée avec les contraintes de l'article 346 TFUE (exception de sécurité nationale).</w:t>
      </w:r>
      <w:r>
        <w:t xml:space="preserve"> L'article 346 TFUE, qui permet aux États membres de déroger, sous conditions strictes et au cas par cas, aux règles européennes des marchés publics pour des motifs de sécurité nationale, crée une tension structurelle entre cette recommandation et l'intégration européenne du marché de défense : les clauses de révision ne peuvent s'appliquer uniformément tant que chaque État conserve la prérogative de déroger aux règles communes. Le FED et l'EDIP opèrent sous cette contrainte — cette recommandation et la recommandation 6 doivent être comprises dans ce cadre juridique.</w:t>
      </w:r>
    </w:p>
    <w:p w14:paraId="5B020F01" w14:textId="77777777" w:rsidR="00AA1CAB" w:rsidRPr="00261E35" w:rsidRDefault="00261E35">
      <w:pPr>
        <w:pStyle w:val="Heading2"/>
        <w:rPr>
          <w:lang w:val="fr-FR"/>
        </w:rPr>
      </w:pPr>
      <w:r w:rsidRPr="00261E35">
        <w:rPr>
          <w:lang w:val="fr-FR"/>
          <w:b/>
        </w:rPr>
        <w:lastRenderedPageBreak/>
        <w:t>B. Quatre recommandations complémentaires (propositions de politique industrielle)</w:t>
      </w:r>
    </w:p>
    <w:p w14:paraId="5B020F01" w14:textId="77777777" w:rsidR="00AA1CAB" w:rsidRPr="00261E35" w:rsidRDefault="00261E35">
      <w:pPr>
        <w:pStyle w:val="Heading2"/>
        <w:rPr>
          <w:lang w:val="fr-FR"/>
        </w:rPr>
      </w:pPr>
      <w:r w:rsidRPr="00261E35">
        <w:rPr>
          <w:lang w:val="fr-FR"/>
        </w:rPr>
        <w:t>4. Bulletin de veille géopolitique pour les PME</w:t>
      </w:r>
    </w:p>
    <w:p w14:paraId="79068CD3" w14:textId="77777777" w:rsidR="00AA1CAB" w:rsidRDefault="00261E35">
      <w:pPr>
        <w:jc w:val="both"/>
      </w:pPr>
      <w:r w:rsidRPr="00261E35">
        <w:rPr>
          <w:b/>
          <w:lang w:val="fr-FR"/>
        </w:rPr>
        <w:t xml:space="preserve">Acteur : CAPS/MEAE, SGDSN, DGRIS. </w:t>
      </w:r>
      <w:r w:rsidRPr="00261E35">
        <w:rPr>
          <w:lang w:val="fr-FR"/>
        </w:rPr>
        <w:t xml:space="preserve">Bulletin trimestriel traduit en termes opérationnels pour les PME </w:t>
      </w:r>
      <w:r w:rsidRPr="00261E35">
        <w:rPr>
          <w:lang w:val="fr-FR"/>
        </w:rPr>
        <w:t xml:space="preserve">— pas un rapport de renseignement, mais un document lisible par un chef d'entreprise, identifiant les menaces à 6 mois et leur impact sur les coûts et les approvisionnements. L'objectif est de réduire l'asymétrie informationnelle entre grands groupes (qui </w:t>
      </w:r>
      <w:r w:rsidRPr="00261E35">
        <w:rPr>
          <w:lang w:val="fr-FR"/>
        </w:rPr>
        <w:t xml:space="preserve">disposent de cellules de veille) et PME. Le DGA PME Tour offre un cadre de diffusion. Calendrier : premier numéro S2 2026. </w:t>
      </w:r>
      <w:r>
        <w:t>Coût : marginal (intégré aux missions existantes).</w:t>
      </w:r>
    </w:p>
    <w:p w14:paraId="091D40F7" w14:textId="77777777" w:rsidR="00AA1CAB" w:rsidRDefault="00261E35">
      <w:pPr>
        <w:pStyle w:val="Heading2"/>
      </w:pPr>
      <w:r>
        <w:t>5. Conditionnalité résilience et budgets à double temporalité</w:t>
      </w:r>
    </w:p>
    <w:p w14:paraId="42520059" w14:textId="77777777" w:rsidR="00AA1CAB" w:rsidRDefault="00261E35">
      <w:pPr>
        <w:jc w:val="both"/>
      </w:pPr>
      <w:r>
        <w:rPr>
          <w:b/>
        </w:rPr>
        <w:t>Acteur : Bpifrance Défense (450 M€), Definvest, filières GICAT/GIF</w:t>
      </w:r>
      <w:r>
        <w:rPr>
          <w:b/>
        </w:rPr>
        <w:t xml:space="preserve">AS. </w:t>
      </w:r>
      <w:r>
        <w:t>Intégrer un critère de résilience géopolitique dans les conditions d'éligibilité au soutien financier : diagnostic de dépendance aux intrants critiques, plan de diversification, évaluation de la robustesse de la chaîne d'approvisionnement. La logique d</w:t>
      </w:r>
      <w:r>
        <w:t>e budgets à double temporalité mérite d'être explorée : une enveloppe « urgence » (acquisition sur étagère, y compris hors UE) et une enveloppe « structurelle » (exclusivement fournisseurs européens, horizon 2035), avec convergence automatique.</w:t>
      </w:r>
    </w:p>
    <w:p w14:paraId="5EE42E25" w14:textId="77777777" w:rsidR="00AA1CAB" w:rsidRDefault="00261E35">
      <w:pPr>
        <w:jc w:val="both"/>
      </w:pPr>
      <w:r>
        <w:t>Attention :</w:t>
      </w:r>
      <w:r>
        <w:t xml:space="preserve"> nos résultats sur l'innovation montrent que les entreprises qui innovent sur un seul front (produit seul ou process seul) sont plus vulnérables que les non-innovateurs. Les programmes de soutien (BPI, EIC, France 2030) doivent couvrir les deux fronts — in</w:t>
      </w:r>
      <w:r>
        <w:t>novation et résilience — sous peine de fragiliser les entreprises qu'ils entendent renforcer.</w:t>
      </w:r>
    </w:p>
    <w:p w14:paraId="72CB3D25" w14:textId="77777777" w:rsidR="00AA1CAB" w:rsidRDefault="00261E35">
      <w:pPr>
        <w:pStyle w:val="Heading2"/>
      </w:pPr>
      <w:r>
        <w:t>6. Inscrire la résilience PME-BITD dans le prochain cycle du Fonds européen de défense</w:t>
      </w:r>
    </w:p>
    <w:p w14:paraId="79F5B05F" w14:textId="77777777" w:rsidR="00AA1CAB" w:rsidRDefault="00261E35">
      <w:pPr>
        <w:jc w:val="both"/>
      </w:pPr>
      <w:r>
        <w:rPr>
          <w:b/>
        </w:rPr>
        <w:t>Acteur : DG DEFIS, EDA, représentation permanente française auprès de l'UE.</w:t>
      </w:r>
      <w:r>
        <w:rPr>
          <w:b/>
        </w:rPr>
        <w:t xml:space="preserve"> </w:t>
      </w:r>
      <w:r>
        <w:t>Proposer lors de la programmation du FED 2028-2034 un critère d'éligibilité favorisant les consortiums associant au moins 3 PME de 3 États membres, avec un volet résilience géopolitique évalué. Articuler avec EDIRPA (adopté 2023), EDIP (en négociation) et les prêts SAFE (150 Md€, adoptés mai 2025).</w:t>
      </w:r>
      <w:r>
        <w:t xml:space="preserve"> Ce levier européen complète les instruments nationaux et répond à un problème documenté à l'échelle de 12 pays. Calendrier : proposition française lors du Conseil compétitivité S1 2027.</w:t>
      </w:r>
    </w:p>
    <w:p w14:paraId="617C1722" w14:textId="77777777" w:rsidR="00AA1CAB" w:rsidRDefault="00261E35">
      <w:pPr>
        <w:pStyle w:val="Heading2"/>
      </w:pPr>
      <w:r>
        <w:t>7. Versailles-Satory : démonstrateur d'une politique intégrée</w:t>
      </w:r>
    </w:p>
    <w:p w14:paraId="70905F78" w14:textId="77777777" w:rsidR="00AA1CAB" w:rsidRDefault="00261E35">
      <w:pPr>
        <w:jc w:val="both"/>
      </w:pPr>
      <w:r>
        <w:rPr>
          <w:b/>
        </w:rPr>
        <w:t xml:space="preserve">Acteur </w:t>
      </w:r>
      <w:r>
        <w:rPr>
          <w:b/>
        </w:rPr>
        <w:t xml:space="preserve">: Préfecture des Yvelines, MinArm, EPA Versailles Grand Parc. </w:t>
      </w:r>
      <w:r>
        <w:t xml:space="preserve">Programme pilote articulant diagnostic des vulnérabilités, mutualisation de l'intelligence géopolitique, instruments </w:t>
      </w:r>
      <w:r>
        <w:lastRenderedPageBreak/>
        <w:t>financiers et pouvoir de négociation collectif sur les prix — répondant direc</w:t>
      </w:r>
      <w:r>
        <w:t>tement au défaut de transmission identifié par nos résultats. L'écosystème Satory (KNDS, Arquus, Thales, Defense Angels) réunit les composantes nécessaires. Évaluation : protocole rigoureux avec réplication sur d'autres territoires BITD (Bordeaux, Bourges,</w:t>
      </w:r>
      <w:r>
        <w:t xml:space="preserve"> Toulon). Calendrier : convention cadre S2 2026, premiers résultats mi-2028.</w:t>
      </w:r>
    </w:p>
    <w:p w14:paraId="6DAB82EA" w14:textId="77777777" w:rsidR="00AA1CAB" w:rsidRDefault="00261E35">
      <w:pPr>
        <w:pStyle w:val="Heading1"/>
      </w:pPr>
      <w:r>
        <w:t>Conclusion</w:t>
      </w:r>
    </w:p>
    <w:p w14:paraId="67CA42D1" w14:textId="77777777" w:rsidR="00AA1CAB" w:rsidRDefault="00261E35">
      <w:pPr>
        <w:jc w:val="both"/>
      </w:pPr>
      <w:r>
        <w:t>Le débat européen sur la sécurité économique s'est structuré par le haut : instrument anti-coercition, filtrage des IDE, politique industrielle. Ces outils sont nécessaires. Mais la résilience de la BITD se joue aussi — peut-être surtout — par le bas : dans la capacité des quelque 4 500 PME qui constituent la profondeur de la seule BITD française et de leurs équivalents à travers les douze pays étudiés à anticiper les chocs, absorber les surcoûts et poursuivre l'innovation.</w:t>
      </w:r>
      <w:r/>
    </w:p>
    <w:p w14:paraId="557236D9" w14:textId="77777777" w:rsidR="00AA1CAB" w:rsidRDefault="00261E35">
      <w:pPr>
        <w:jc w:val="both"/>
      </w:pPr>
      <w:r>
        <w:t xml:space="preserve">Les résultats présentés ici montrent </w:t>
      </w:r>
      <w:r>
        <w:t>que cette capacité est menacée par un double gradient de vulnérabilité — sectoriel et dimensionnel — dont le mécanisme central est le défaut de transmission des coûts. L'impact macroéconomique, estimé à environ 15 milliards d'euros de PIB (fourchette 7-28 Md€), justifie une r</w:t>
      </w:r>
      <w:r>
        <w:t>éponse politique structurée — par type de choc (menaces vs actes), par temporalité (urgence vs structurel) et par niveau institutionnel (national et européen).</w:t>
      </w:r>
    </w:p>
    <w:p w14:paraId="19AF0464" w14:textId="77777777" w:rsidR="00AA1CAB" w:rsidRDefault="00261E35">
      <w:pPr>
        <w:jc w:val="both"/>
      </w:pPr>
      <w:r>
        <w:t>Un enjeu dépasse le périmètre de ce brief mais mérite d'être signalé : les régions à forte densi</w:t>
      </w:r>
      <w:r>
        <w:t>té de PME industrielles exposées aux chocs géopolitiques sont aussi celles où le vote protestataire progresse en Europe. Le risque n'est pas seulement économique — il est politique. La fragilité par la base est aussi une fragilité démocratique.</w:t>
      </w:r>
    </w:p>
    <w:p w14:paraId="6A4836D5" w14:textId="77777777" w:rsidR="00AA1CAB" w:rsidRDefault="00261E35">
      <w:pPr>
        <w:jc w:val="both"/>
      </w:pPr>
      <w:r>
        <w:t>Le Plan PEP</w:t>
      </w:r>
      <w:r>
        <w:t>S, les instruments du DGA PME Tour et le fonds Bpifrance Défense sont des avancées réelles — à condition d'être articulés avec une politique de résilience géopolitique informée par des données, évaluée rigoureusement, et inscrite dans le cadre européen.</w:t>
      </w:r>
    </w:p>
    <w:p w14:paraId="6F6C86A8" w14:textId="77777777" w:rsidR="00AA1CAB" w:rsidRDefault="00261E35">
      <w:r>
        <w:br w:type="page"/>
      </w:r>
    </w:p>
    <w:p w14:paraId="3176CFD8" w14:textId="77777777" w:rsidR="00AA1CAB" w:rsidRDefault="00261E35">
      <w:pPr>
        <w:pStyle w:val="Heading1"/>
      </w:pPr>
      <w:r>
        <w:lastRenderedPageBreak/>
        <w:t>Annexe technique</w:t>
      </w:r>
    </w:p>
    <w:p w14:paraId="36107234" w14:textId="77777777" w:rsidR="00AA1CAB" w:rsidRDefault="00261E35">
      <w:pPr>
        <w:jc w:val="both"/>
      </w:pPr>
      <w:r>
        <w:rPr>
          <w:b/>
        </w:rPr>
        <w:t xml:space="preserve">Données. </w:t>
      </w:r>
      <w:r>
        <w:t>Panel ECB Survey on the Access to Finance of Enterprises (SAFE) — 337 666 observations, 12 pays zone euro, 37 vagues semestrielles, 2009-2024. Le secteur « Industrie » correspond aux codes NACE B-E et représente 8 997 observations</w:t>
      </w:r>
      <w:r>
        <w:t>. Données quotidiennes : German Business Panel (1 100 observations, 2021-2024). Indice GPR (Caldara-Iacoviello, 15 015 observations journalières, 1985-2026). Données d'insolvabilité : Eurostat (sts_rb_q). Validation : indice Google Trends de stress géopoli</w:t>
      </w:r>
      <w:r>
        <w:t>tique (r = 0,620 avec le GPR).</w:t>
      </w:r>
    </w:p>
    <w:p w14:paraId="2FF9FB79" w14:textId="77777777" w:rsidR="00AA1CAB" w:rsidRDefault="00261E35">
      <w:pPr>
        <w:jc w:val="both"/>
      </w:pPr>
      <w:r>
        <w:rPr>
          <w:b/>
        </w:rPr>
        <w:t xml:space="preserve">Méthodes. </w:t>
      </w:r>
      <w:r>
        <w:t xml:space="preserve">L'indice de stress opérationnel (« scissors ») mesure la co-occurrence d'une hausse des coûts et d'une stagnation du chiffre d'affaires. Le score de vulnérabilité est construit par analyse en composantes </w:t>
      </w:r>
      <w:r>
        <w:t>principales sur cinq variables de stress. L'exposition géopolitique est mesurée par un instrument fondé sur la part des importations en provenance de Russie et d'Ukraine par pays-secteur (baseline 2019). L'estimation causale utilise une triple différence (</w:t>
      </w:r>
      <w:r>
        <w:t>exposition × post-invasion × taille). L'inférence avec 12 clusters repose sur le wild cluster bootstrap (méthode de Webb, 999 réplications). Les projections locales utilisent les erreurs standard de Newey-West.</w:t>
      </w:r>
    </w:p>
    <w:p w14:paraId="24312ED8" w14:textId="77777777" w:rsidR="00AA1CAB" w:rsidRDefault="00261E35">
      <w:pPr>
        <w:jc w:val="both"/>
      </w:pPr>
      <w:r>
        <w:rPr>
          <w:b/>
        </w:rPr>
        <w:t>Coefficient de la triple différence : β = +0,74 points (wild cluster bootstrap p = 0,037, 12 clusters, méthode de Webb, 999 réplications). Avec 12 clusters, la fiabilité du bootstrap est limitée (Cameron, Gelbach et Miller 2008 recommandent 20-30 clusters minimum) — le résultat doit être interprété avec cette réserve. Robustesse et limites. Le résultat principal survit au wild cluster bootstrap (p = 0,037), aux diagnostics de l'instrument (poids de Rotemberg dispersés, aucun changement de signe en leave-one-out), aux placebos temporels (2/3 passent, 1 marginal à p = 0,081), et à la validation croisée avec les insolvabilités Eurostat. Limites principales : l'enquête SAFE mesure la vulnérabilité déclarée (perceptions), non les liens input-output entre entreprises ; l'impact PIB est une estimation comptable en équilibre partiel ; le panel ECB SAFE ne permet pas d'isoler les firmes de défense au sein du secteur industriel. Le croisement avec les données administratives de la DGA ou les données FIBEN de la Banque de France constitue l'extension naturelle de cette recherche.</w:t>
      </w:r>
      <w:r/>
      <w:r/>
      <w:r/>
    </w:p>
    <w:p w14:paraId="0DDEDECD" w14:textId="77777777" w:rsidR="00AA1CAB" w:rsidRDefault="00261E35">
      <w:pPr>
        <w:jc w:val="both"/>
      </w:pPr>
      <w:r>
        <w:rPr>
          <w:b/>
        </w:rPr>
        <w:t>Au</w:t>
      </w:r>
      <w:r>
        <w:rPr>
          <w:b/>
        </w:rPr>
        <w:t xml:space="preserve">tres sources. </w:t>
      </w:r>
      <w:r>
        <w:t>Trésor-Éco n°360 (Alvarez et al., mars 2025), EcoDef 260 (MinArm/DG Trésor, mars 2025), rapport interministériel sur le financement BITD (mars 2025), étude DG DEFIS/CSIL (janvier 2024), Eurostat, DSCA/SIPRI (Foreign Military Sales). Ces résultats feront l'objet d'un article académique so</w:t>
      </w:r>
      <w:r>
        <w:t>umis à une revue internationale à comité de lecture.</w:t>
      </w:r>
    </w:p>
    <w:p w14:paraId="3A161924" w14:textId="77777777" w:rsidR="00AA1CAB" w:rsidRDefault="00AA1CAB"/>
    <w:p w14:paraId="7CCF5C88" w14:textId="77777777" w:rsidR="00AA1CAB" w:rsidRDefault="00261E35">
      <w:pPr>
        <w:jc w:val="center"/>
      </w:pPr>
      <w:r>
        <w:rPr>
          <w:sz w:val="18"/>
        </w:rPr>
        <w:t>Contact : kilamaericgabin@yahoo.fr  |  06 89 80 78 01</w:t>
      </w:r>
      <w:r>
        <w:rPr>
          <w:sz w:val="18"/>
        </w:rPr>
        <w:br/>
        <w:t>LinkedIn : linkedin.com/in/eric-gabin-kilama-aa4b4941</w:t>
      </w:r>
      <w:r>
        <w:rPr>
          <w:sz w:val="18"/>
        </w:rPr>
        <w:br/>
      </w:r>
    </w:p>
    <w:p w14:paraId="3A1DC12C" w14:textId="77777777" w:rsidR="00AA1CAB" w:rsidRDefault="00261E35">
      <w:r>
        <w:rPr>
          <w:i/>
          <w:sz w:val="16"/>
        </w:rPr>
        <w:t>Mots-clés : BITD, PME, risques géopolitiques, résilience, pricing passthrough, chokepoints, I</w:t>
      </w:r>
      <w:r>
        <w:rPr>
          <w:i/>
          <w:sz w:val="16"/>
        </w:rPr>
        <w:t>TAR, financement de la défense, autonomie stratégique, Fonds européen de défense, EDIP, observatoire d'alerte précoce</w:t>
      </w:r>
    </w:p>
    <w:sectPr w:rsidR="00AA1C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9011293">
    <w:abstractNumId w:val="8"/>
  </w:num>
  <w:num w:numId="2" w16cid:durableId="1658072054">
    <w:abstractNumId w:val="6"/>
  </w:num>
  <w:num w:numId="3" w16cid:durableId="1746104622">
    <w:abstractNumId w:val="5"/>
  </w:num>
  <w:num w:numId="4" w16cid:durableId="2127265224">
    <w:abstractNumId w:val="4"/>
  </w:num>
  <w:num w:numId="5" w16cid:durableId="1735932631">
    <w:abstractNumId w:val="7"/>
  </w:num>
  <w:num w:numId="6" w16cid:durableId="1894148298">
    <w:abstractNumId w:val="3"/>
  </w:num>
  <w:num w:numId="7" w16cid:durableId="1898278419">
    <w:abstractNumId w:val="2"/>
  </w:num>
  <w:num w:numId="8" w16cid:durableId="2057468168">
    <w:abstractNumId w:val="1"/>
  </w:num>
  <w:num w:numId="9" w16cid:durableId="2248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1E35"/>
    <w:rsid w:val="0029639D"/>
    <w:rsid w:val="00326F90"/>
    <w:rsid w:val="00AA1CA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55E60"/>
  <w14:defaultImageDpi w14:val="300"/>
  <w15:docId w15:val="{05EF9D4E-D909-3943-B96C-5DF9F3C4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B3A5C"/>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B3A5C"/>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B3A5C"/>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3631</Words>
  <Characters>20699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Kilama Eric Gabin</cp:lastModifiedBy>
  <cp:revision>2</cp:revision>
  <dcterms:created xsi:type="dcterms:W3CDTF">2013-12-23T23:15:00Z</dcterms:created>
  <dcterms:modified xsi:type="dcterms:W3CDTF">2026-02-24T17:48:00Z</dcterms:modified>
  <cp:category/>
</cp:coreProperties>
</file>